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CB5" w:rsidRPr="00273CB5" w:rsidRDefault="00273CB5" w:rsidP="00273CB5">
      <w:pPr>
        <w:pStyle w:val="ConsPlusNormal"/>
        <w:jc w:val="right"/>
        <w:outlineLvl w:val="2"/>
        <w:rPr>
          <w:b/>
        </w:rPr>
      </w:pPr>
      <w:r w:rsidRPr="00273CB5">
        <w:rPr>
          <w:b/>
        </w:rPr>
        <w:t>Форма 2</w:t>
      </w: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ОТЧЕТ</w:t>
      </w: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 достигнутых значениях целевых показателей государственной</w:t>
      </w: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программы Карачаево-Черкесской Республики</w:t>
      </w:r>
    </w:p>
    <w:p w:rsidR="00273CB5" w:rsidRDefault="00273CB5" w:rsidP="00273CB5">
      <w:pPr>
        <w:jc w:val="center"/>
      </w:pPr>
      <w:r>
        <w:rPr>
          <w:rFonts w:ascii="Times New Roman" w:hAnsi="Times New Roman" w:cs="Times New Roman"/>
          <w:b/>
          <w:bCs/>
          <w:color w:val="000000"/>
        </w:rPr>
        <w:t xml:space="preserve">по состоянию 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на  31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 декабря 2019 г.</w:t>
      </w: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Наименование государственной программы: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Развитие сельского хозяйства Карачаево-Черкесской Республики</w:t>
      </w: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t xml:space="preserve">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>Ответственный исполнитель государственной программы:</w:t>
      </w:r>
      <w:r w:rsidRPr="00273CB5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Министерство сельского хозяйства Карачаево-Черкесской Республики</w:t>
      </w: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</w:p>
    <w:p w:rsidR="00273CB5" w:rsidRDefault="00273CB5" w:rsidP="00273C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4819" w:type="dxa"/>
        <w:tblInd w:w="55" w:type="dxa"/>
        <w:tblLayout w:type="fixed"/>
        <w:tblLook w:val="0000" w:firstRow="0" w:lastRow="0" w:firstColumn="0" w:lastColumn="0" w:noHBand="0" w:noVBand="0"/>
      </w:tblPr>
      <w:tblGrid>
        <w:gridCol w:w="803"/>
        <w:gridCol w:w="4094"/>
        <w:gridCol w:w="1155"/>
        <w:gridCol w:w="1195"/>
        <w:gridCol w:w="1721"/>
        <w:gridCol w:w="1441"/>
        <w:gridCol w:w="1598"/>
        <w:gridCol w:w="2812"/>
      </w:tblGrid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  <w:tblHeader/>
        </w:trPr>
        <w:tc>
          <w:tcPr>
            <w:tcW w:w="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4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1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Относительное отклонение, %</w:t>
            </w:r>
          </w:p>
        </w:tc>
        <w:tc>
          <w:tcPr>
            <w:tcW w:w="2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Обоснование отклонений значений целевого показателя на конец отчетного периода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на текущий год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на конец отчетного периода</w:t>
            </w:r>
          </w:p>
        </w:tc>
        <w:tc>
          <w:tcPr>
            <w:tcW w:w="14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 Развитие сельского хозяйства Карачаево-Черкесской Республики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101.49 %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15.60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115.42 %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10.70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110.57 %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27854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29111,3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1257.30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104.51 %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-13.30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данные Минсельхоза КЧР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данные Минсельхоза КЧР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Располагаемые ресурсы домашних хозяйств (в среднем на 1 члена домашнего хозяйства в месяц) в сельской местности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15120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15337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101.44 %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данные Минсельхоза КЧР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-1.80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98.23 %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сельского населения в общей численности населения Карачаево-Черкесской Республики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1. Обеспечение общих условий функционирования сельскохозяйственной отрасли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1.1. Обеспечение эпизоотического и ветеринарно-санитарного благополучия на территории Карачаево-Черкесской Республики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2. Техническая и технологическая модернизация, инновационное развитие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кол. мероприятий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2.1. Обновление парка сельскохозяйственной техники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42.59 %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2.2. Реализация перспективных инновационных проектов в агропромышленном комплексе и развитие производства и товаро-проводящей инфраструктуры системы социального питания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2.2.1.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кол. мероприятий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3. Устойчивое развитие сельских территорий Карачаево-Черкесской Республики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18946,07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11196.07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244.47 %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 поддержка местных инициатив граждан, проживающих в сельской местности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3.10.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3.1. 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 (приобретение) жилья для граждан,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проживающих в сельской местности, всего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кв. м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6606.00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384.13 %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3.1.2.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10015,07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4590.07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184.61 %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3.2. 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тыс.мест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запланиравано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3.3. Грантовая поддержка местных инициатив граждан, проживающих в сельской местности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местных инициатив сельских сообществ, получивших грантовую поддержку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3.4. Региональный проект «Культурная среда»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3.5. Региональный проект «Развитие системы оказания первичной медико-санитарной помощи»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3.6. Региональный проект «Спорт – норма жизни»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Введены в эксплуатацию плоскостные спортивные сооружения в сельских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территориях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4. Развитие мелиорации земель сельскохозяйственного назначения Карачаево-Черкесской Республики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100.20 %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4.1. 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100.20 %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5. Развитие подотраслей агропромышленного комплекса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72.10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117.10 %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54,293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-2.31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95.92 %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-184.80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46.37 %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-60.12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25.96 %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101.57 %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4,386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-5.61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43.86 %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192,638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-28.26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87.21 %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поголовья коров в личном подсобном хозяйстве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5.8.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12.30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107.69 %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5.10.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71,134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100.90 %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34,375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102.15 %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Племенное маточное поголовье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животных (в пересчете на условные головы)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тысяча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условных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29,998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177.33 %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167.16 %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5.18.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106.90 %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5.19.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89.74 %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-0.65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23.53 %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5.1. 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98,637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-3.46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96.61 %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(фермерских)хозяйствах,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114.56 %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5.2. 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111.13 %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-28.30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87.19 %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поголовья коров в личном подсобном хозяйстве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5.3. Содействие достижению целевых показателей программы в области традиционных подотраслей сельского хозяйства, имеющих существенное значение для региона (Элитное семеноводство и племенное животноводство)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площади, засеваемой элитными семенами, в общей площади посевов, занятой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семенами сортов растений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5.3.2.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71,134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100.90 %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34,375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102.15 %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тысяча условных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177.33 %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5.4. Содействие достижению целевых показателей программы в области растениеводства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159,88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-184.72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46.40 %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21,09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-60.11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25.97 %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101.57 %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Валовой сбор плодов и ягод в сельскохозяйственных организациях,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4,386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-5.61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43.86 %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5.4.5.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12.30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107.69 %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72.10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117.10 %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5.4.7.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106.90 %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5.4.8.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167.16 %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5.5. Содействие достижению целевых показателей программы в области животноводства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5.6. Обеспечение финансовой устойчивости сельскохозяйственных товаропроизводителей в области растениеводства и животноводства (страхование)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 площади)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5.7. Достижение целевых показателей региональной программы в области развития малых форм хозяйствования на селе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новых постоянных рабочих мест, созданных в крестьянских (фермерских) хозяйствах, осуществивших проекты создания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развития своих хозяйств с помощью государственной поддержки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142.11 %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19,74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9.74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197.40 %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136.84 %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предыдущему году)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209.01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2190.10 %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мфх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99.78 %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89.74 %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5.7.7.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-0.65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23.53 %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невыполнение целевого показателя повлияло слабая материально-техническая база предприятий которая не позволяет комплексно перерабатывать исходное сырье и создавать оптимальные условия для хранения, что приводит к дополнительным потерям, снижению безопасности и качества, а также снижение покупательского спроса у населения  в связи с тем, что предпочтение отдают сырам местного производства,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изготовленным в домашних условиях сельским населением республики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6. Стимулирование инвестиционной деятельности агропромышленного комплекса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млн.рублей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843,155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-67.44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92.59 %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селекционно-семеноводческих центров в растениеводстве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селекционно-питомниководческих центров в виноградарстве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селекционно-генетических центров в птицеводстве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6.1. Поддержка инвестиционного кредитования в агропромышленном комплексе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млн.рублей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843,155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-67.44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92.59 %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6.2. Возмещение части прямых понесенных затрат на создание и (или) модернизацию объектов агропромышленного комплекса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селекционно-семеноводческих центров в растениеводстве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6.2.4.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селекционно-питомниководческих центров в виноградарстве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селекционно-генетических центров в птицеводстве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7. «Система поддержки фермеров и развитие сельскохозяйственной кооперации»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 субъектов МСП в сельском хозяйстве, включая  КФХ и СПоК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316.33 %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238.86 %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«Агростартап»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154.55 %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принятых членов СПоК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287.84 %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7.1. Региональный проект «Создание системы поддержки фермеров и развитие сельской кооперации»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вовлеченных в субъекты МСП, осуществляющие деятельность в сфере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сельского хозяйства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237.44 %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7.1.2.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«Агростартап»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151.14 %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7.1.3.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принятых членов СПоК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287.84 %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7.1.4.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субъектов МСП в сельском хозяйстве, включая КФХ и СПоК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316.33 %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7.1.5.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7.1.6.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8. «Экспорт продукции АПК Карачаево-Черкесской Республики»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-1.80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запланированная остановка единственного предприятия - экспортера мяса баранины, в связи с выходом из строя технолог. оборудования. Комбинат встал на реконструкцию и модернизацию с целью замены на новое  современное высокотехнологического оборудование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8.1. Возмещение части затрат на проведение гидромелиоративных мероприятий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9. Ведомственная целевая программа «Развитие садоводства в Карачаево-Черкесской Республике на 2019-2021 годы»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запланировано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0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9.1. Предоставление грантов сельскохозяйственным потребительским кооперативам, на закладку сада интенсивного типа</w:t>
            </w:r>
          </w:p>
        </w:tc>
      </w:tr>
      <w:tr w:rsidR="00273CB5" w:rsidTr="00614AEF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9.1.1.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100.00 %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3CB5" w:rsidRDefault="00273CB5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13551C" w:rsidRDefault="0013551C" w:rsidP="00273CB5">
      <w:pPr>
        <w:tabs>
          <w:tab w:val="left" w:pos="914"/>
        </w:tabs>
      </w:pPr>
    </w:p>
    <w:p w:rsidR="00273CB5" w:rsidRPr="00F45FE8" w:rsidRDefault="00273CB5" w:rsidP="00273CB5">
      <w:pPr>
        <w:tabs>
          <w:tab w:val="left" w:pos="1352"/>
        </w:tabs>
        <w:spacing w:after="0"/>
        <w:rPr>
          <w:rFonts w:ascii="Times New Roman" w:hAnsi="Times New Roman" w:cs="Times New Roman"/>
          <w:sz w:val="25"/>
          <w:szCs w:val="25"/>
        </w:rPr>
      </w:pPr>
      <w:r w:rsidRPr="00F45FE8">
        <w:rPr>
          <w:rFonts w:ascii="Times New Roman" w:hAnsi="Times New Roman" w:cs="Times New Roman"/>
          <w:sz w:val="25"/>
          <w:szCs w:val="25"/>
        </w:rPr>
        <w:t xml:space="preserve">Министр сельского хозяйства </w:t>
      </w:r>
    </w:p>
    <w:p w:rsidR="00273CB5" w:rsidRPr="00F45FE8" w:rsidRDefault="00273CB5" w:rsidP="00273CB5">
      <w:pPr>
        <w:tabs>
          <w:tab w:val="left" w:pos="1352"/>
        </w:tabs>
        <w:spacing w:after="0"/>
        <w:rPr>
          <w:rFonts w:ascii="Times New Roman" w:hAnsi="Times New Roman" w:cs="Times New Roman"/>
          <w:sz w:val="25"/>
          <w:szCs w:val="25"/>
        </w:rPr>
      </w:pPr>
      <w:r w:rsidRPr="00F45FE8">
        <w:rPr>
          <w:rFonts w:ascii="Times New Roman" w:hAnsi="Times New Roman" w:cs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Pr="00F45FE8">
        <w:rPr>
          <w:rFonts w:ascii="Times New Roman" w:hAnsi="Times New Roman" w:cs="Times New Roman"/>
          <w:sz w:val="25"/>
          <w:szCs w:val="25"/>
        </w:rPr>
        <w:t xml:space="preserve"> А.А. Боташев</w:t>
      </w: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</w:p>
    <w:p w:rsidR="00273CB5" w:rsidRDefault="00273CB5" w:rsidP="00273CB5">
      <w:pPr>
        <w:tabs>
          <w:tab w:val="left" w:pos="1352"/>
        </w:tabs>
      </w:pPr>
      <w:bookmarkStart w:id="0" w:name="_GoBack"/>
      <w:bookmarkEnd w:id="0"/>
    </w:p>
    <w:p w:rsidR="00273CB5" w:rsidRPr="001433F0" w:rsidRDefault="00273CB5" w:rsidP="00273CB5">
      <w:pPr>
        <w:tabs>
          <w:tab w:val="left" w:pos="135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433F0">
        <w:rPr>
          <w:rFonts w:ascii="Times New Roman" w:hAnsi="Times New Roman" w:cs="Times New Roman"/>
          <w:sz w:val="20"/>
          <w:szCs w:val="20"/>
        </w:rPr>
        <w:t xml:space="preserve">Кубанова Елизавета Джагафаровна </w:t>
      </w:r>
    </w:p>
    <w:p w:rsidR="00273CB5" w:rsidRPr="001433F0" w:rsidRDefault="00273CB5" w:rsidP="00273CB5">
      <w:pPr>
        <w:tabs>
          <w:tab w:val="left" w:pos="1352"/>
        </w:tabs>
        <w:spacing w:after="0"/>
        <w:rPr>
          <w:rFonts w:ascii="Times New Roman" w:hAnsi="Times New Roman" w:cs="Times New Roman"/>
          <w:sz w:val="20"/>
          <w:szCs w:val="20"/>
        </w:rPr>
      </w:pPr>
      <w:hyperlink r:id="rId6" w:history="1"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e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kubanova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mcxkchr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1433F0">
        <w:rPr>
          <w:rFonts w:ascii="Times New Roman" w:hAnsi="Times New Roman" w:cs="Times New Roman"/>
          <w:sz w:val="20"/>
          <w:szCs w:val="20"/>
        </w:rPr>
        <w:t xml:space="preserve">; тел.887822-2-06-74 </w:t>
      </w:r>
    </w:p>
    <w:p w:rsidR="00273CB5" w:rsidRPr="00273CB5" w:rsidRDefault="00273CB5" w:rsidP="00273CB5">
      <w:pPr>
        <w:tabs>
          <w:tab w:val="left" w:pos="914"/>
        </w:tabs>
      </w:pPr>
    </w:p>
    <w:sectPr w:rsidR="00273CB5" w:rsidRPr="00273CB5" w:rsidSect="00614AEF">
      <w:footerReference w:type="default" r:id="rId7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099" w:rsidRDefault="00703099" w:rsidP="00273CB5">
      <w:pPr>
        <w:spacing w:after="0" w:line="240" w:lineRule="auto"/>
      </w:pPr>
      <w:r>
        <w:separator/>
      </w:r>
    </w:p>
  </w:endnote>
  <w:endnote w:type="continuationSeparator" w:id="0">
    <w:p w:rsidR="00703099" w:rsidRDefault="00703099" w:rsidP="00273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999975"/>
      <w:docPartObj>
        <w:docPartGallery w:val="Page Numbers (Bottom of Page)"/>
        <w:docPartUnique/>
      </w:docPartObj>
    </w:sdtPr>
    <w:sdtContent>
      <w:p w:rsidR="00273CB5" w:rsidRDefault="00273C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AEF">
          <w:rPr>
            <w:noProof/>
          </w:rPr>
          <w:t>14</w:t>
        </w:r>
        <w:r>
          <w:fldChar w:fldCharType="end"/>
        </w:r>
      </w:p>
    </w:sdtContent>
  </w:sdt>
  <w:p w:rsidR="00273CB5" w:rsidRDefault="00273C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099" w:rsidRDefault="00703099" w:rsidP="00273CB5">
      <w:pPr>
        <w:spacing w:after="0" w:line="240" w:lineRule="auto"/>
      </w:pPr>
      <w:r>
        <w:separator/>
      </w:r>
    </w:p>
  </w:footnote>
  <w:footnote w:type="continuationSeparator" w:id="0">
    <w:p w:rsidR="00703099" w:rsidRDefault="00703099" w:rsidP="00273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CB5"/>
    <w:rsid w:val="0013551C"/>
    <w:rsid w:val="00273CB5"/>
    <w:rsid w:val="00614AEF"/>
    <w:rsid w:val="0070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3C2B"/>
  <w15:chartTrackingRefBased/>
  <w15:docId w15:val="{1051FD20-FA9D-4C51-80B2-74EC1B48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 w:bidi="he-IL"/>
    </w:rPr>
  </w:style>
  <w:style w:type="character" w:styleId="a3">
    <w:name w:val="Hyperlink"/>
    <w:basedOn w:val="a0"/>
    <w:uiPriority w:val="99"/>
    <w:unhideWhenUsed/>
    <w:rsid w:val="00273CB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73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3CB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73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3CB5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4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4AE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.kubanova@mcxkch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3598</Words>
  <Characters>20513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2</cp:revision>
  <cp:lastPrinted>2020-04-11T11:19:00Z</cp:lastPrinted>
  <dcterms:created xsi:type="dcterms:W3CDTF">2020-04-11T11:15:00Z</dcterms:created>
  <dcterms:modified xsi:type="dcterms:W3CDTF">2020-04-11T11:19:00Z</dcterms:modified>
</cp:coreProperties>
</file>